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B067" w14:textId="77777777" w:rsidR="00C574DF" w:rsidRDefault="00C574DF" w:rsidP="006427EA">
      <w:pPr>
        <w:spacing w:after="0" w:line="240" w:lineRule="auto"/>
        <w:textAlignment w:val="baseline"/>
        <w:outlineLvl w:val="0"/>
        <w:rPr>
          <w:rFonts w:ascii="Arial" w:eastAsia="Times New Roman" w:hAnsi="Arial" w:cs="Arial"/>
          <w:b/>
          <w:bCs/>
          <w:color w:val="0089C4"/>
          <w:kern w:val="36"/>
          <w:sz w:val="53"/>
          <w:szCs w:val="53"/>
          <w:lang w:eastAsia="en-GB"/>
        </w:rPr>
      </w:pPr>
      <w:r w:rsidRPr="00C574DF">
        <w:rPr>
          <w:rFonts w:ascii="Arial" w:eastAsia="Times New Roman" w:hAnsi="Arial" w:cs="Arial"/>
          <w:b/>
          <w:bCs/>
          <w:noProof/>
          <w:color w:val="0089C4"/>
          <w:kern w:val="36"/>
          <w:sz w:val="53"/>
          <w:szCs w:val="53"/>
          <w:lang w:eastAsia="en-GB"/>
        </w:rPr>
        <w:drawing>
          <wp:inline distT="0" distB="0" distL="0" distR="0" wp14:anchorId="5A01AB58" wp14:editId="0D172EBB">
            <wp:extent cx="1466850" cy="1390650"/>
            <wp:effectExtent l="0" t="0" r="0" b="0"/>
            <wp:docPr id="1" name="Picture 1" descr="\\A82035\userdata$\anna.sives\My Documents\My Pictures\PCN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82035\userdata$\anna.sives\My Documents\My Pictures\PCN Network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390650"/>
                    </a:xfrm>
                    <a:prstGeom prst="rect">
                      <a:avLst/>
                    </a:prstGeom>
                    <a:noFill/>
                    <a:ln>
                      <a:noFill/>
                    </a:ln>
                  </pic:spPr>
                </pic:pic>
              </a:graphicData>
            </a:graphic>
          </wp:inline>
        </w:drawing>
      </w:r>
    </w:p>
    <w:p w14:paraId="25881A8A" w14:textId="77777777" w:rsidR="00C574DF" w:rsidRDefault="00C574DF" w:rsidP="006427EA">
      <w:pPr>
        <w:spacing w:after="0" w:line="240" w:lineRule="auto"/>
        <w:textAlignment w:val="baseline"/>
        <w:outlineLvl w:val="0"/>
        <w:rPr>
          <w:rFonts w:ascii="Arial" w:eastAsia="Times New Roman" w:hAnsi="Arial" w:cs="Arial"/>
          <w:b/>
          <w:bCs/>
          <w:color w:val="0089C4"/>
          <w:kern w:val="36"/>
          <w:sz w:val="53"/>
          <w:szCs w:val="53"/>
          <w:lang w:eastAsia="en-GB"/>
        </w:rPr>
      </w:pPr>
    </w:p>
    <w:p w14:paraId="716EDFAB" w14:textId="77777777" w:rsidR="006427EA" w:rsidRPr="006427EA" w:rsidRDefault="006427EA" w:rsidP="006427EA">
      <w:pPr>
        <w:spacing w:after="0" w:line="240" w:lineRule="auto"/>
        <w:textAlignment w:val="baseline"/>
        <w:outlineLvl w:val="0"/>
        <w:rPr>
          <w:rFonts w:ascii="Arial" w:eastAsia="Times New Roman" w:hAnsi="Arial" w:cs="Arial"/>
          <w:b/>
          <w:bCs/>
          <w:color w:val="0089C4"/>
          <w:kern w:val="36"/>
          <w:sz w:val="53"/>
          <w:szCs w:val="53"/>
          <w:lang w:eastAsia="en-GB"/>
        </w:rPr>
      </w:pPr>
      <w:r w:rsidRPr="006427EA">
        <w:rPr>
          <w:rFonts w:ascii="Arial" w:eastAsia="Times New Roman" w:hAnsi="Arial" w:cs="Arial"/>
          <w:b/>
          <w:bCs/>
          <w:color w:val="0089C4"/>
          <w:kern w:val="36"/>
          <w:sz w:val="53"/>
          <w:szCs w:val="53"/>
          <w:lang w:eastAsia="en-GB"/>
        </w:rPr>
        <w:t>Our Primary Care Network (PCN)</w:t>
      </w:r>
    </w:p>
    <w:p w14:paraId="4587A486" w14:textId="77777777" w:rsidR="006427EA" w:rsidRPr="006427EA" w:rsidRDefault="006427EA" w:rsidP="006427EA">
      <w:pPr>
        <w:spacing w:after="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bdr w:val="none" w:sz="0" w:space="0" w:color="auto" w:frame="1"/>
          <w:lang w:eastAsia="en-GB"/>
        </w:rPr>
        <w:t>The </w:t>
      </w:r>
      <w:hyperlink r:id="rId6" w:tgtFrame="_blank" w:history="1">
        <w:r w:rsidRPr="006427EA">
          <w:rPr>
            <w:rFonts w:ascii="Arial" w:eastAsia="Times New Roman" w:hAnsi="Arial" w:cs="Arial"/>
            <w:color w:val="0089C4"/>
            <w:sz w:val="27"/>
            <w:szCs w:val="27"/>
            <w:bdr w:val="none" w:sz="0" w:space="0" w:color="auto" w:frame="1"/>
            <w:lang w:eastAsia="en-GB"/>
          </w:rPr>
          <w:t>new GP contract </w:t>
        </w:r>
      </w:hyperlink>
      <w:r w:rsidRPr="006427EA">
        <w:rPr>
          <w:rFonts w:ascii="Arial" w:eastAsia="Times New Roman" w:hAnsi="Arial" w:cs="Arial"/>
          <w:color w:val="58595B"/>
          <w:sz w:val="27"/>
          <w:szCs w:val="27"/>
          <w:bdr w:val="none" w:sz="0" w:space="0" w:color="auto" w:frame="1"/>
          <w:lang w:eastAsia="en-GB"/>
        </w:rPr>
        <w:t>was published in early 2019 as part of the </w:t>
      </w:r>
      <w:hyperlink r:id="rId7" w:tgtFrame="_blank" w:history="1">
        <w:r w:rsidRPr="006427EA">
          <w:rPr>
            <w:rFonts w:ascii="Arial" w:eastAsia="Times New Roman" w:hAnsi="Arial" w:cs="Arial"/>
            <w:color w:val="0089C4"/>
            <w:sz w:val="27"/>
            <w:szCs w:val="27"/>
            <w:bdr w:val="none" w:sz="0" w:space="0" w:color="auto" w:frame="1"/>
            <w:lang w:eastAsia="en-GB"/>
          </w:rPr>
          <w:t>Long Term Plan. </w:t>
        </w:r>
      </w:hyperlink>
      <w:r w:rsidRPr="006427EA">
        <w:rPr>
          <w:rFonts w:ascii="Arial" w:eastAsia="Times New Roman" w:hAnsi="Arial" w:cs="Arial"/>
          <w:color w:val="58595B"/>
          <w:sz w:val="27"/>
          <w:szCs w:val="27"/>
          <w:bdr w:val="none" w:sz="0" w:space="0" w:color="auto" w:frame="1"/>
          <w:lang w:eastAsia="en-GB"/>
        </w:rPr>
        <w:t>A key element of the new contract is the development of Primary Care Networks (PCNs) which will bring GP practices together with other local services – such as community, mental health, social care and the voluntary sector to look after local populations.  PCNs will help to join up services at a local level, focusing on the specific needs of these local populations, with patients still accessing routine GP appointments as they do now. </w:t>
      </w:r>
    </w:p>
    <w:p w14:paraId="7FBF76D4" w14:textId="77777777" w:rsidR="006427EA" w:rsidRPr="006427EA" w:rsidRDefault="006427EA" w:rsidP="006427EA">
      <w:p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 </w:t>
      </w:r>
    </w:p>
    <w:p w14:paraId="6F3E8E29" w14:textId="77777777" w:rsidR="006427EA" w:rsidRPr="006427EA" w:rsidRDefault="006427EA" w:rsidP="006427EA">
      <w:pPr>
        <w:spacing w:after="0" w:line="240" w:lineRule="auto"/>
        <w:textAlignment w:val="baseline"/>
        <w:outlineLvl w:val="2"/>
        <w:rPr>
          <w:rFonts w:ascii="Arial" w:eastAsia="Times New Roman" w:hAnsi="Arial" w:cs="Arial"/>
          <w:b/>
          <w:bCs/>
          <w:color w:val="2E74B5" w:themeColor="accent1" w:themeShade="BF"/>
          <w:sz w:val="38"/>
          <w:szCs w:val="38"/>
          <w:lang w:eastAsia="en-GB"/>
        </w:rPr>
      </w:pPr>
      <w:r w:rsidRPr="006427EA">
        <w:rPr>
          <w:rFonts w:ascii="Arial" w:eastAsia="Times New Roman" w:hAnsi="Arial" w:cs="Arial"/>
          <w:b/>
          <w:bCs/>
          <w:color w:val="2E74B5" w:themeColor="accent1" w:themeShade="BF"/>
          <w:sz w:val="38"/>
          <w:szCs w:val="38"/>
          <w:bdr w:val="none" w:sz="0" w:space="0" w:color="auto" w:frame="1"/>
          <w:lang w:eastAsia="en-GB"/>
        </w:rPr>
        <w:t>What are PCNs?</w:t>
      </w:r>
    </w:p>
    <w:p w14:paraId="4DE0B181" w14:textId="77777777" w:rsidR="006427EA" w:rsidRPr="006427EA" w:rsidRDefault="006427EA" w:rsidP="006427EA">
      <w:pPr>
        <w:spacing w:after="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bdr w:val="none" w:sz="0" w:space="0" w:color="auto" w:frame="1"/>
          <w:lang w:eastAsia="en-GB"/>
        </w:rPr>
        <w:t>PCNs build on current primary care services and enable greater provision of proactive, personalised, coordinated and more integrated health and social care. Clinicians describe this as a change from reactively providing appointments to proactively providing care for the people and communities they serve. Where emerging PCNs are in place in parts of the country, there are clear benefits for patients and clinicians. PCNs usually have a 30-50k population and are geographically contiguous (next to or touching another). All GP practices in the Eden Valley are expected to sign up to be a member of a PCN.  </w:t>
      </w:r>
      <w:hyperlink r:id="rId8" w:tgtFrame="_blank" w:history="1">
        <w:r w:rsidRPr="006427EA">
          <w:rPr>
            <w:rFonts w:ascii="Arial" w:eastAsia="Times New Roman" w:hAnsi="Arial" w:cs="Arial"/>
            <w:color w:val="0089C4"/>
            <w:sz w:val="27"/>
            <w:szCs w:val="27"/>
            <w:bdr w:val="none" w:sz="0" w:space="0" w:color="auto" w:frame="1"/>
            <w:lang w:eastAsia="en-GB"/>
          </w:rPr>
          <w:t>You can read the NHS England PCN FAQs here </w:t>
        </w:r>
      </w:hyperlink>
      <w:r w:rsidRPr="006427EA">
        <w:rPr>
          <w:rFonts w:ascii="Arial" w:eastAsia="Times New Roman" w:hAnsi="Arial" w:cs="Arial"/>
          <w:color w:val="58595B"/>
          <w:sz w:val="27"/>
          <w:szCs w:val="27"/>
          <w:bdr w:val="none" w:sz="0" w:space="0" w:color="auto" w:frame="1"/>
          <w:lang w:eastAsia="en-GB"/>
        </w:rPr>
        <w:t>and view the BMA </w:t>
      </w:r>
      <w:hyperlink r:id="rId9" w:tgtFrame="_blank" w:history="1">
        <w:r w:rsidRPr="006427EA">
          <w:rPr>
            <w:rFonts w:ascii="Arial" w:eastAsia="Times New Roman" w:hAnsi="Arial" w:cs="Arial"/>
            <w:color w:val="0089C4"/>
            <w:sz w:val="27"/>
            <w:szCs w:val="27"/>
            <w:bdr w:val="none" w:sz="0" w:space="0" w:color="auto" w:frame="1"/>
            <w:lang w:eastAsia="en-GB"/>
          </w:rPr>
          <w:t>PCN handbook (March 2019) here.  </w:t>
        </w:r>
      </w:hyperlink>
    </w:p>
    <w:p w14:paraId="40069062" w14:textId="77777777" w:rsidR="006427EA" w:rsidRPr="006427EA" w:rsidRDefault="006427EA" w:rsidP="006427EA">
      <w:p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 </w:t>
      </w:r>
    </w:p>
    <w:p w14:paraId="56DDD65E" w14:textId="77777777" w:rsidR="006427EA" w:rsidRPr="006427EA" w:rsidRDefault="006427EA" w:rsidP="006427EA">
      <w:pPr>
        <w:spacing w:after="0" w:line="240" w:lineRule="auto"/>
        <w:textAlignment w:val="baseline"/>
        <w:outlineLvl w:val="2"/>
        <w:rPr>
          <w:rFonts w:ascii="Arial" w:eastAsia="Times New Roman" w:hAnsi="Arial" w:cs="Arial"/>
          <w:b/>
          <w:bCs/>
          <w:color w:val="2E74B5" w:themeColor="accent1" w:themeShade="BF"/>
          <w:sz w:val="38"/>
          <w:szCs w:val="38"/>
          <w:lang w:eastAsia="en-GB"/>
        </w:rPr>
      </w:pPr>
      <w:r w:rsidRPr="006427EA">
        <w:rPr>
          <w:rFonts w:ascii="Arial" w:eastAsia="Times New Roman" w:hAnsi="Arial" w:cs="Arial"/>
          <w:b/>
          <w:bCs/>
          <w:color w:val="2E74B5" w:themeColor="accent1" w:themeShade="BF"/>
          <w:sz w:val="38"/>
          <w:szCs w:val="38"/>
          <w:bdr w:val="none" w:sz="0" w:space="0" w:color="auto" w:frame="1"/>
          <w:lang w:eastAsia="en-GB"/>
        </w:rPr>
        <w:t>What are we doing in the Eden Valley?</w:t>
      </w:r>
    </w:p>
    <w:p w14:paraId="1775BB07" w14:textId="77777777" w:rsidR="006427EA" w:rsidRPr="006427EA" w:rsidRDefault="006427EA" w:rsidP="006427EA">
      <w:pPr>
        <w:spacing w:after="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bdr w:val="none" w:sz="0" w:space="0" w:color="auto" w:frame="1"/>
          <w:lang w:val="en-US" w:eastAsia="en-GB"/>
        </w:rPr>
        <w:t xml:space="preserve">All ten practices have signed up to being a large PCN that covers all practices and the registered population of Eden. We have a Clinical Director and a management team supporting the set up </w:t>
      </w:r>
      <w:r>
        <w:rPr>
          <w:rFonts w:ascii="Arial" w:eastAsia="Times New Roman" w:hAnsi="Arial" w:cs="Arial"/>
          <w:color w:val="58595B"/>
          <w:sz w:val="27"/>
          <w:szCs w:val="27"/>
          <w:bdr w:val="none" w:sz="0" w:space="0" w:color="auto" w:frame="1"/>
          <w:lang w:val="en-US" w:eastAsia="en-GB"/>
        </w:rPr>
        <w:t>a</w:t>
      </w:r>
      <w:r w:rsidRPr="006427EA">
        <w:rPr>
          <w:rFonts w:ascii="Arial" w:eastAsia="Times New Roman" w:hAnsi="Arial" w:cs="Arial"/>
          <w:color w:val="58595B"/>
          <w:sz w:val="27"/>
          <w:szCs w:val="27"/>
          <w:bdr w:val="none" w:sz="0" w:space="0" w:color="auto" w:frame="1"/>
          <w:lang w:val="en-US" w:eastAsia="en-GB"/>
        </w:rPr>
        <w:t>nd implementation of the PCN, working closely with the ten member practices.  </w:t>
      </w:r>
    </w:p>
    <w:p w14:paraId="1A94BE15" w14:textId="77777777" w:rsidR="006427EA" w:rsidRDefault="006427EA" w:rsidP="006427EA">
      <w:p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lastRenderedPageBreak/>
        <w:t xml:space="preserve">In the past year the team have been </w:t>
      </w:r>
      <w:r>
        <w:rPr>
          <w:rFonts w:ascii="Arial" w:eastAsia="Times New Roman" w:hAnsi="Arial" w:cs="Arial"/>
          <w:color w:val="58595B"/>
          <w:sz w:val="27"/>
          <w:szCs w:val="27"/>
          <w:lang w:eastAsia="en-GB"/>
        </w:rPr>
        <w:t>supporting the delivery of the C</w:t>
      </w:r>
      <w:r w:rsidRPr="006427EA">
        <w:rPr>
          <w:rFonts w:ascii="Arial" w:eastAsia="Times New Roman" w:hAnsi="Arial" w:cs="Arial"/>
          <w:color w:val="58595B"/>
          <w:sz w:val="27"/>
          <w:szCs w:val="27"/>
          <w:lang w:eastAsia="en-GB"/>
        </w:rPr>
        <w:t xml:space="preserve">ovid </w:t>
      </w:r>
      <w:r>
        <w:rPr>
          <w:rFonts w:ascii="Arial" w:eastAsia="Times New Roman" w:hAnsi="Arial" w:cs="Arial"/>
          <w:color w:val="58595B"/>
          <w:sz w:val="27"/>
          <w:szCs w:val="27"/>
          <w:lang w:eastAsia="en-GB"/>
        </w:rPr>
        <w:t xml:space="preserve">19 </w:t>
      </w:r>
      <w:r w:rsidRPr="006427EA">
        <w:rPr>
          <w:rFonts w:ascii="Arial" w:eastAsia="Times New Roman" w:hAnsi="Arial" w:cs="Arial"/>
          <w:color w:val="58595B"/>
          <w:sz w:val="27"/>
          <w:szCs w:val="27"/>
          <w:lang w:eastAsia="en-GB"/>
        </w:rPr>
        <w:t>vaccination programme.</w:t>
      </w:r>
    </w:p>
    <w:p w14:paraId="574CEA7E" w14:textId="77777777" w:rsidR="006427EA" w:rsidRDefault="006427EA" w:rsidP="006427EA">
      <w:pPr>
        <w:spacing w:before="150" w:after="150" w:line="340" w:lineRule="atLeast"/>
        <w:textAlignment w:val="baseline"/>
        <w:rPr>
          <w:rFonts w:ascii="Arial" w:eastAsia="Times New Roman" w:hAnsi="Arial" w:cs="Arial"/>
          <w:color w:val="58595B"/>
          <w:sz w:val="27"/>
          <w:szCs w:val="27"/>
          <w:lang w:eastAsia="en-GB"/>
        </w:rPr>
      </w:pPr>
      <w:r>
        <w:rPr>
          <w:rFonts w:ascii="Arial" w:eastAsia="Times New Roman" w:hAnsi="Arial" w:cs="Arial"/>
          <w:color w:val="58595B"/>
          <w:sz w:val="27"/>
          <w:szCs w:val="27"/>
          <w:lang w:eastAsia="en-GB"/>
        </w:rPr>
        <w:t>We are currently recruiting new roles to work on behalf of the practices as a centralised team;</w:t>
      </w:r>
    </w:p>
    <w:p w14:paraId="3CCCCCD3" w14:textId="77777777" w:rsidR="006427EA" w:rsidRP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First contact Physiotherapy</w:t>
      </w:r>
    </w:p>
    <w:p w14:paraId="17DA8775" w14:textId="77777777" w:rsidR="006427EA" w:rsidRP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Pharmacists</w:t>
      </w:r>
    </w:p>
    <w:p w14:paraId="358B4DF3" w14:textId="77777777" w:rsidR="006427EA" w:rsidRP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Pharmacy technicians</w:t>
      </w:r>
    </w:p>
    <w:p w14:paraId="3C3A30D4" w14:textId="77777777" w:rsidR="006427EA" w:rsidRP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Physician Associates</w:t>
      </w:r>
    </w:p>
    <w:p w14:paraId="1F700EC8" w14:textId="77777777" w:rsidR="006427EA" w:rsidRP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Care co-ordinators</w:t>
      </w:r>
    </w:p>
    <w:p w14:paraId="28F3D95D" w14:textId="77777777" w:rsid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Social Prescribers</w:t>
      </w:r>
    </w:p>
    <w:p w14:paraId="2DE67BEF" w14:textId="77777777" w:rsid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Pr>
          <w:rFonts w:ascii="Arial" w:eastAsia="Times New Roman" w:hAnsi="Arial" w:cs="Arial"/>
          <w:color w:val="58595B"/>
          <w:sz w:val="27"/>
          <w:szCs w:val="27"/>
          <w:lang w:eastAsia="en-GB"/>
        </w:rPr>
        <w:t>Occupational therapists</w:t>
      </w:r>
    </w:p>
    <w:p w14:paraId="7E2D4DAC" w14:textId="77777777" w:rsid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Pr>
          <w:rFonts w:ascii="Arial" w:eastAsia="Times New Roman" w:hAnsi="Arial" w:cs="Arial"/>
          <w:color w:val="58595B"/>
          <w:sz w:val="27"/>
          <w:szCs w:val="27"/>
          <w:lang w:eastAsia="en-GB"/>
        </w:rPr>
        <w:t>Dieticians</w:t>
      </w:r>
    </w:p>
    <w:p w14:paraId="2B09B520" w14:textId="77777777" w:rsid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Pr>
          <w:rFonts w:ascii="Arial" w:eastAsia="Times New Roman" w:hAnsi="Arial" w:cs="Arial"/>
          <w:color w:val="58595B"/>
          <w:sz w:val="27"/>
          <w:szCs w:val="27"/>
          <w:lang w:eastAsia="en-GB"/>
        </w:rPr>
        <w:t>Podiatrists</w:t>
      </w:r>
    </w:p>
    <w:p w14:paraId="2E7646FF" w14:textId="77777777" w:rsidR="006427EA" w:rsidRPr="006427EA" w:rsidRDefault="006427EA" w:rsidP="006427EA">
      <w:pPr>
        <w:pStyle w:val="ListParagraph"/>
        <w:numPr>
          <w:ilvl w:val="0"/>
          <w:numId w:val="2"/>
        </w:numPr>
        <w:spacing w:before="150" w:after="150" w:line="340" w:lineRule="atLeast"/>
        <w:textAlignment w:val="baseline"/>
        <w:rPr>
          <w:rFonts w:ascii="Arial" w:eastAsia="Times New Roman" w:hAnsi="Arial" w:cs="Arial"/>
          <w:color w:val="58595B"/>
          <w:sz w:val="27"/>
          <w:szCs w:val="27"/>
          <w:lang w:eastAsia="en-GB"/>
        </w:rPr>
      </w:pPr>
      <w:r>
        <w:rPr>
          <w:rFonts w:ascii="Arial" w:eastAsia="Times New Roman" w:hAnsi="Arial" w:cs="Arial"/>
          <w:color w:val="58595B"/>
          <w:sz w:val="27"/>
          <w:szCs w:val="27"/>
          <w:lang w:eastAsia="en-GB"/>
        </w:rPr>
        <w:t>Health Coaches</w:t>
      </w:r>
    </w:p>
    <w:p w14:paraId="0A8E6B39" w14:textId="77777777" w:rsidR="006427EA" w:rsidRDefault="006427EA" w:rsidP="006427EA">
      <w:pPr>
        <w:spacing w:before="150" w:after="150" w:line="340" w:lineRule="atLeast"/>
        <w:textAlignment w:val="baseline"/>
        <w:rPr>
          <w:rFonts w:ascii="Arial" w:eastAsia="Times New Roman" w:hAnsi="Arial" w:cs="Arial"/>
          <w:color w:val="58595B"/>
          <w:sz w:val="27"/>
          <w:szCs w:val="27"/>
          <w:lang w:eastAsia="en-GB"/>
        </w:rPr>
      </w:pPr>
    </w:p>
    <w:p w14:paraId="14B4213B" w14:textId="77777777" w:rsidR="006427EA" w:rsidRPr="006427EA" w:rsidRDefault="009F0C00" w:rsidP="006427EA">
      <w:pPr>
        <w:spacing w:after="0" w:line="240" w:lineRule="auto"/>
        <w:textAlignment w:val="baseline"/>
        <w:outlineLvl w:val="3"/>
        <w:rPr>
          <w:rFonts w:ascii="Arial" w:eastAsia="Times New Roman" w:hAnsi="Arial" w:cs="Arial"/>
          <w:b/>
          <w:bCs/>
          <w:color w:val="2E74B5" w:themeColor="accent1" w:themeShade="BF"/>
          <w:sz w:val="30"/>
          <w:szCs w:val="30"/>
          <w:lang w:eastAsia="en-GB"/>
        </w:rPr>
      </w:pPr>
      <w:r>
        <w:rPr>
          <w:rFonts w:ascii="Arial" w:eastAsia="Times New Roman" w:hAnsi="Arial" w:cs="Arial"/>
          <w:b/>
          <w:bCs/>
          <w:color w:val="2E74B5" w:themeColor="accent1" w:themeShade="BF"/>
          <w:sz w:val="30"/>
          <w:szCs w:val="30"/>
          <w:lang w:eastAsia="en-GB"/>
        </w:rPr>
        <w:t>O</w:t>
      </w:r>
      <w:r w:rsidR="006427EA" w:rsidRPr="006427EA">
        <w:rPr>
          <w:rFonts w:ascii="Arial" w:eastAsia="Times New Roman" w:hAnsi="Arial" w:cs="Arial"/>
          <w:b/>
          <w:bCs/>
          <w:color w:val="2E74B5" w:themeColor="accent1" w:themeShade="BF"/>
          <w:sz w:val="30"/>
          <w:szCs w:val="30"/>
          <w:lang w:eastAsia="en-GB"/>
        </w:rPr>
        <w:t>ur clinical director and management team</w:t>
      </w:r>
    </w:p>
    <w:p w14:paraId="5D6B9EC3" w14:textId="77777777" w:rsidR="006427EA" w:rsidRPr="006427EA" w:rsidRDefault="006427EA" w:rsidP="006427EA">
      <w:pPr>
        <w:spacing w:before="150" w:after="150" w:line="340" w:lineRule="atLeast"/>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Our PCN is led by a PCN clinical director and three managers:</w:t>
      </w:r>
    </w:p>
    <w:p w14:paraId="04B67FE0" w14:textId="77777777" w:rsidR="006427EA" w:rsidRPr="006427EA" w:rsidRDefault="006427EA" w:rsidP="006427EA">
      <w:pPr>
        <w:numPr>
          <w:ilvl w:val="0"/>
          <w:numId w:val="1"/>
        </w:numPr>
        <w:spacing w:after="0" w:line="240" w:lineRule="auto"/>
        <w:ind w:left="870" w:hanging="150"/>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Dr Helen Jervis</w:t>
      </w:r>
      <w:r w:rsidRPr="006427EA">
        <w:rPr>
          <w:rFonts w:ascii="Arial" w:eastAsia="Times New Roman" w:hAnsi="Arial" w:cs="Arial"/>
          <w:color w:val="58595B"/>
          <w:sz w:val="27"/>
          <w:szCs w:val="27"/>
          <w:lang w:eastAsia="en-GB"/>
        </w:rPr>
        <w:tab/>
        <w:t>Clinical Director</w:t>
      </w:r>
    </w:p>
    <w:p w14:paraId="68547077" w14:textId="77777777" w:rsidR="006427EA" w:rsidRPr="006427EA" w:rsidRDefault="006427EA" w:rsidP="006427EA">
      <w:pPr>
        <w:numPr>
          <w:ilvl w:val="0"/>
          <w:numId w:val="1"/>
        </w:numPr>
        <w:spacing w:after="0" w:line="240" w:lineRule="auto"/>
        <w:ind w:left="870" w:hanging="150"/>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Anna M Sives</w:t>
      </w:r>
      <w:r w:rsidRPr="006427EA">
        <w:rPr>
          <w:rFonts w:ascii="Arial" w:eastAsia="Times New Roman" w:hAnsi="Arial" w:cs="Arial"/>
          <w:color w:val="58595B"/>
          <w:sz w:val="27"/>
          <w:szCs w:val="27"/>
          <w:lang w:eastAsia="en-GB"/>
        </w:rPr>
        <w:tab/>
      </w:r>
    </w:p>
    <w:p w14:paraId="0A6B7900" w14:textId="77777777" w:rsidR="006427EA" w:rsidRPr="006427EA" w:rsidRDefault="006427EA" w:rsidP="006427EA">
      <w:pPr>
        <w:numPr>
          <w:ilvl w:val="0"/>
          <w:numId w:val="1"/>
        </w:numPr>
        <w:spacing w:after="0" w:line="240" w:lineRule="auto"/>
        <w:ind w:left="870" w:hanging="150"/>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Paula Breen</w:t>
      </w:r>
      <w:r w:rsidRPr="006427EA">
        <w:rPr>
          <w:rFonts w:ascii="Arial" w:eastAsia="Times New Roman" w:hAnsi="Arial" w:cs="Arial"/>
          <w:color w:val="58595B"/>
          <w:sz w:val="27"/>
          <w:szCs w:val="27"/>
          <w:lang w:eastAsia="en-GB"/>
        </w:rPr>
        <w:tab/>
      </w:r>
    </w:p>
    <w:p w14:paraId="580D9A77" w14:textId="77777777" w:rsidR="006427EA" w:rsidRPr="006427EA" w:rsidRDefault="006427EA" w:rsidP="006427EA">
      <w:pPr>
        <w:numPr>
          <w:ilvl w:val="0"/>
          <w:numId w:val="1"/>
        </w:numPr>
        <w:spacing w:after="0" w:line="240" w:lineRule="auto"/>
        <w:ind w:left="870" w:hanging="150"/>
        <w:textAlignment w:val="baseline"/>
        <w:rPr>
          <w:rFonts w:ascii="Arial" w:eastAsia="Times New Roman" w:hAnsi="Arial" w:cs="Arial"/>
          <w:color w:val="58595B"/>
          <w:sz w:val="27"/>
          <w:szCs w:val="27"/>
          <w:lang w:eastAsia="en-GB"/>
        </w:rPr>
      </w:pPr>
      <w:r w:rsidRPr="006427EA">
        <w:rPr>
          <w:rFonts w:ascii="Arial" w:eastAsia="Times New Roman" w:hAnsi="Arial" w:cs="Arial"/>
          <w:color w:val="58595B"/>
          <w:sz w:val="27"/>
          <w:szCs w:val="27"/>
          <w:lang w:eastAsia="en-GB"/>
        </w:rPr>
        <w:t xml:space="preserve">Amanda Riley </w:t>
      </w:r>
      <w:r w:rsidRPr="006427EA">
        <w:rPr>
          <w:rFonts w:ascii="Arial" w:eastAsia="Times New Roman" w:hAnsi="Arial" w:cs="Arial"/>
          <w:color w:val="58595B"/>
          <w:sz w:val="27"/>
          <w:szCs w:val="27"/>
          <w:lang w:eastAsia="en-GB"/>
        </w:rPr>
        <w:tab/>
      </w:r>
    </w:p>
    <w:p w14:paraId="1CEB9A2E" w14:textId="77777777" w:rsidR="006427EA" w:rsidRPr="006427EA" w:rsidRDefault="006427EA" w:rsidP="006427EA">
      <w:pPr>
        <w:spacing w:after="0" w:line="240" w:lineRule="auto"/>
        <w:textAlignment w:val="baseline"/>
        <w:outlineLvl w:val="2"/>
        <w:rPr>
          <w:rFonts w:ascii="Arial" w:eastAsia="Times New Roman" w:hAnsi="Arial" w:cs="Arial"/>
          <w:color w:val="58595B"/>
          <w:sz w:val="27"/>
          <w:szCs w:val="27"/>
          <w:bdr w:val="none" w:sz="0" w:space="0" w:color="auto" w:frame="1"/>
          <w:lang w:eastAsia="en-GB"/>
        </w:rPr>
      </w:pPr>
    </w:p>
    <w:p w14:paraId="15868D1D" w14:textId="77777777" w:rsidR="006427EA" w:rsidRPr="006427EA" w:rsidRDefault="006427EA" w:rsidP="006427EA">
      <w:pPr>
        <w:spacing w:after="0" w:line="240" w:lineRule="auto"/>
        <w:textAlignment w:val="baseline"/>
        <w:outlineLvl w:val="2"/>
        <w:rPr>
          <w:rFonts w:ascii="Arial" w:eastAsia="Times New Roman" w:hAnsi="Arial" w:cs="Arial"/>
          <w:color w:val="58595B"/>
          <w:sz w:val="27"/>
          <w:szCs w:val="27"/>
          <w:bdr w:val="none" w:sz="0" w:space="0" w:color="auto" w:frame="1"/>
          <w:lang w:eastAsia="en-GB"/>
        </w:rPr>
      </w:pPr>
    </w:p>
    <w:p w14:paraId="65E04010" w14:textId="77777777" w:rsidR="006427EA" w:rsidRPr="006427EA" w:rsidRDefault="006427EA" w:rsidP="006427EA">
      <w:pPr>
        <w:spacing w:after="0" w:line="240" w:lineRule="auto"/>
        <w:textAlignment w:val="baseline"/>
        <w:outlineLvl w:val="2"/>
        <w:rPr>
          <w:rFonts w:ascii="Arial" w:eastAsia="Times New Roman" w:hAnsi="Arial" w:cs="Arial"/>
          <w:b/>
          <w:bCs/>
          <w:color w:val="2E74B5" w:themeColor="accent1" w:themeShade="BF"/>
          <w:sz w:val="38"/>
          <w:szCs w:val="38"/>
          <w:lang w:eastAsia="en-GB"/>
        </w:rPr>
      </w:pPr>
      <w:r w:rsidRPr="006427EA">
        <w:rPr>
          <w:rFonts w:ascii="Arial" w:eastAsia="Times New Roman" w:hAnsi="Arial" w:cs="Arial"/>
          <w:b/>
          <w:bCs/>
          <w:color w:val="2E74B5" w:themeColor="accent1" w:themeShade="BF"/>
          <w:sz w:val="38"/>
          <w:szCs w:val="38"/>
          <w:lang w:eastAsia="en-GB"/>
        </w:rPr>
        <w:t>Further information</w:t>
      </w:r>
    </w:p>
    <w:p w14:paraId="67069E4C" w14:textId="77777777" w:rsidR="006427EA" w:rsidRPr="006427EA" w:rsidRDefault="006427EA" w:rsidP="006427EA">
      <w:pPr>
        <w:spacing w:after="0" w:line="340" w:lineRule="atLeast"/>
        <w:textAlignment w:val="baseline"/>
        <w:rPr>
          <w:rFonts w:ascii="Arial" w:eastAsia="Times New Roman" w:hAnsi="Arial" w:cs="Arial"/>
          <w:color w:val="58595B"/>
          <w:sz w:val="27"/>
          <w:szCs w:val="27"/>
          <w:bdr w:val="none" w:sz="0" w:space="0" w:color="auto" w:frame="1"/>
          <w:lang w:eastAsia="en-GB"/>
        </w:rPr>
      </w:pPr>
      <w:r w:rsidRPr="006427EA">
        <w:rPr>
          <w:rFonts w:ascii="Arial" w:eastAsia="Times New Roman" w:hAnsi="Arial" w:cs="Arial"/>
          <w:color w:val="58595B"/>
          <w:sz w:val="27"/>
          <w:szCs w:val="27"/>
          <w:bdr w:val="none" w:sz="0" w:space="0" w:color="auto" w:frame="1"/>
          <w:lang w:eastAsia="en-GB"/>
        </w:rPr>
        <w:t>Watch a short animation that explains the concept of primary care networks (PCNs) and how this new way of working enables health and other services to work together to provide better access for patients.</w:t>
      </w:r>
    </w:p>
    <w:p w14:paraId="03F3A673" w14:textId="77777777" w:rsidR="006427EA" w:rsidRDefault="006427EA" w:rsidP="006427EA">
      <w:pPr>
        <w:spacing w:after="0" w:line="340" w:lineRule="atLeast"/>
        <w:textAlignment w:val="baseline"/>
        <w:rPr>
          <w:rFonts w:ascii="inherit" w:eastAsia="Times New Roman" w:hAnsi="inherit" w:cs="Arial"/>
          <w:color w:val="58595B"/>
          <w:sz w:val="27"/>
          <w:szCs w:val="27"/>
          <w:bdr w:val="none" w:sz="0" w:space="0" w:color="auto" w:frame="1"/>
          <w:lang w:eastAsia="en-GB"/>
        </w:rPr>
      </w:pPr>
    </w:p>
    <w:p w14:paraId="35453F47" w14:textId="77777777" w:rsidR="006427EA" w:rsidRDefault="00616C57" w:rsidP="006427EA">
      <w:pPr>
        <w:spacing w:after="0" w:line="340" w:lineRule="atLeast"/>
        <w:textAlignment w:val="baseline"/>
        <w:rPr>
          <w:rFonts w:ascii="inherit" w:eastAsia="Times New Roman" w:hAnsi="inherit" w:cs="Arial"/>
          <w:color w:val="58595B"/>
          <w:sz w:val="27"/>
          <w:szCs w:val="27"/>
          <w:lang w:eastAsia="en-GB"/>
        </w:rPr>
      </w:pPr>
      <w:hyperlink r:id="rId10" w:history="1">
        <w:r w:rsidR="006427EA" w:rsidRPr="00E858D2">
          <w:rPr>
            <w:rStyle w:val="Hyperlink"/>
            <w:rFonts w:ascii="inherit" w:eastAsia="Times New Roman" w:hAnsi="inherit" w:cs="Arial"/>
            <w:sz w:val="27"/>
            <w:szCs w:val="27"/>
            <w:lang w:eastAsia="en-GB"/>
          </w:rPr>
          <w:t>https://www.youtube.com/watch?v=W19DtEsc8Ys</w:t>
        </w:r>
      </w:hyperlink>
    </w:p>
    <w:p w14:paraId="3C9954CB" w14:textId="77777777" w:rsidR="006427EA" w:rsidRPr="006427EA" w:rsidRDefault="006427EA" w:rsidP="006427EA">
      <w:pPr>
        <w:spacing w:after="0" w:line="340" w:lineRule="atLeast"/>
        <w:textAlignment w:val="baseline"/>
        <w:rPr>
          <w:rFonts w:ascii="inherit" w:eastAsia="Times New Roman" w:hAnsi="inherit" w:cs="Arial"/>
          <w:color w:val="58595B"/>
          <w:sz w:val="27"/>
          <w:szCs w:val="27"/>
          <w:lang w:eastAsia="en-GB"/>
        </w:rPr>
      </w:pPr>
    </w:p>
    <w:p w14:paraId="6156CCF5" w14:textId="77777777" w:rsidR="00742C4D" w:rsidRPr="006427EA" w:rsidRDefault="00742C4D" w:rsidP="006427EA"/>
    <w:sectPr w:rsidR="00742C4D" w:rsidRPr="00642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6D58"/>
    <w:multiLevelType w:val="hybridMultilevel"/>
    <w:tmpl w:val="21CC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F7C38"/>
    <w:multiLevelType w:val="multilevel"/>
    <w:tmpl w:val="7E02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4D"/>
    <w:rsid w:val="000823F9"/>
    <w:rsid w:val="00616C57"/>
    <w:rsid w:val="006427EA"/>
    <w:rsid w:val="00742C4D"/>
    <w:rsid w:val="007A4023"/>
    <w:rsid w:val="00825159"/>
    <w:rsid w:val="009F0C00"/>
    <w:rsid w:val="00B17F95"/>
    <w:rsid w:val="00C574DF"/>
    <w:rsid w:val="00E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17C4"/>
  <w15:chartTrackingRefBased/>
  <w15:docId w15:val="{7F137471-967C-41A4-9CD6-9145C9C7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7EA"/>
    <w:rPr>
      <w:color w:val="0563C1" w:themeColor="hyperlink"/>
      <w:u w:val="single"/>
    </w:rPr>
  </w:style>
  <w:style w:type="paragraph" w:styleId="ListParagraph">
    <w:name w:val="List Paragraph"/>
    <w:basedOn w:val="Normal"/>
    <w:uiPriority w:val="34"/>
    <w:qFormat/>
    <w:rsid w:val="00642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5495">
      <w:bodyDiv w:val="1"/>
      <w:marLeft w:val="0"/>
      <w:marRight w:val="0"/>
      <w:marTop w:val="0"/>
      <w:marBottom w:val="0"/>
      <w:divBdr>
        <w:top w:val="none" w:sz="0" w:space="0" w:color="auto"/>
        <w:left w:val="none" w:sz="0" w:space="0" w:color="auto"/>
        <w:bottom w:val="none" w:sz="0" w:space="0" w:color="auto"/>
        <w:right w:val="none" w:sz="0" w:space="0" w:color="auto"/>
      </w:divBdr>
      <w:divsChild>
        <w:div w:id="40029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rimary-care/primary-care-networks/resources/pcn-faqs/third/" TargetMode="External"/><Relationship Id="rId3" Type="http://schemas.openxmlformats.org/officeDocument/2006/relationships/settings" Target="settings.xml"/><Relationship Id="rId7" Type="http://schemas.openxmlformats.org/officeDocument/2006/relationships/hyperlink" Target="https://www.longtermplan.nhs.uk/online-ver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9/01/gp-contract-2019.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W19DtEsc8Ys" TargetMode="External"/><Relationship Id="rId4" Type="http://schemas.openxmlformats.org/officeDocument/2006/relationships/webSettings" Target="webSettings.xml"/><Relationship Id="rId9" Type="http://schemas.openxmlformats.org/officeDocument/2006/relationships/hyperlink" Target="https://www.bma.org.uk/media/4222/bma-pcn-handbook-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Sives Anna (A82035) Birbeck Medical Group</dc:creator>
  <cp:keywords/>
  <dc:description/>
  <cp:lastModifiedBy>Helen Saint</cp:lastModifiedBy>
  <cp:revision>2</cp:revision>
  <dcterms:created xsi:type="dcterms:W3CDTF">2022-03-10T16:41:00Z</dcterms:created>
  <dcterms:modified xsi:type="dcterms:W3CDTF">2022-03-10T16:41:00Z</dcterms:modified>
</cp:coreProperties>
</file>